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B3D" w:rsidRDefault="000A1F69" w:rsidP="00D77A91">
      <w:pPr>
        <w:jc w:val="center"/>
      </w:pPr>
      <w:r>
        <w:rPr>
          <w:b/>
          <w:bCs/>
        </w:rPr>
        <w:t>ORÇAMENTO ESTIMATIVO CONTENDO O RELATÓRIO DA PESQUISA DE PREÇOS</w:t>
      </w:r>
      <w:r>
        <w:t xml:space="preserve"> </w:t>
      </w:r>
      <w:r>
        <w:rPr>
          <w:b/>
          <w:bCs/>
        </w:rPr>
        <w:t> </w:t>
      </w:r>
    </w:p>
    <w:p w:rsidR="00A66B3D" w:rsidRDefault="000A1F69">
      <w:pPr>
        <w:jc w:val="both"/>
      </w:pPr>
      <w:r>
        <w:rPr>
          <w:b/>
          <w:bCs/>
        </w:rPr>
        <w:t>1 - OBJETO</w:t>
      </w:r>
    </w:p>
    <w:p w:rsidR="00A66B3D" w:rsidRDefault="000A1F69">
      <w:pPr>
        <w:jc w:val="both"/>
      </w:pPr>
      <w:r>
        <w:t>1.1 - Adesão de Ata de Registro de Preços n º 38/2025, decorrente do Processo nº 26/</w:t>
      </w:r>
      <w:proofErr w:type="gramStart"/>
      <w:r>
        <w:t>2025,  realizada</w:t>
      </w:r>
      <w:proofErr w:type="gramEnd"/>
      <w:r>
        <w:t xml:space="preserve"> pelo consórcio CISLAGOS - Consórcio Intermunicipal  de  Saúde  dos  Municípios da região dos Lagos do Sul de minas. Para futuras e eventuais aquisições de medicamentos Éticos, genéricos e similares com </w:t>
      </w:r>
      <w:proofErr w:type="gramStart"/>
      <w:r>
        <w:t>base  no</w:t>
      </w:r>
      <w:proofErr w:type="gramEnd"/>
      <w:r>
        <w:t xml:space="preserve"> maior percentual de desconto sobre o Banco de Preços do Tribunal de Contas do Estado de Minas Gerais -TCE/MG,  conforme especificações e quantitativos estabelecidos  no ETP - Estudo Técnico Preliminar.</w:t>
      </w:r>
    </w:p>
    <w:p w:rsidR="00A66B3D" w:rsidRDefault="000A1F69">
      <w:pPr>
        <w:jc w:val="both"/>
      </w:pPr>
      <w:r>
        <w:rPr>
          <w:b/>
          <w:bCs/>
        </w:rPr>
        <w:t xml:space="preserve">2 - </w:t>
      </w:r>
      <w:proofErr w:type="gramStart"/>
      <w:r>
        <w:rPr>
          <w:b/>
          <w:bCs/>
        </w:rPr>
        <w:t>ÁREAS(</w:t>
      </w:r>
      <w:proofErr w:type="gramEnd"/>
      <w:r>
        <w:rPr>
          <w:b/>
          <w:bCs/>
        </w:rPr>
        <w:t>S) REQUISITANTE(S)</w:t>
      </w:r>
    </w:p>
    <w:p w:rsidR="00A66B3D" w:rsidRDefault="000A1F69">
      <w:pPr>
        <w:jc w:val="both"/>
      </w:pPr>
      <w:r>
        <w:t>2.1 - Departamento Municipal de Saúde, Pronto Atendimento Municipal de Saúde</w:t>
      </w:r>
    </w:p>
    <w:p w:rsidR="00A66B3D" w:rsidRDefault="000A1F69">
      <w:pPr>
        <w:jc w:val="both"/>
      </w:pPr>
      <w:r>
        <w:rPr>
          <w:b/>
          <w:bCs/>
        </w:rPr>
        <w:t>3 - FONTES CONSULTADAS PARA A PESQUISA DE PREÇO</w:t>
      </w:r>
      <w:r>
        <w:t xml:space="preserve"> </w:t>
      </w:r>
    </w:p>
    <w:p w:rsidR="00A66B3D" w:rsidRDefault="000A1F69">
      <w:pPr>
        <w:numPr>
          <w:ilvl w:val="0"/>
          <w:numId w:val="1"/>
        </w:numPr>
      </w:pPr>
      <w:r>
        <w:t>Portal Nacional de Contratações Públicas (PNCP);</w:t>
      </w:r>
    </w:p>
    <w:p w:rsidR="00A66B3D" w:rsidRDefault="000A1F69">
      <w:pPr>
        <w:numPr>
          <w:ilvl w:val="0"/>
          <w:numId w:val="1"/>
        </w:numPr>
      </w:pPr>
      <w:r>
        <w:t>Contratações similares feitas pela Administração Pública;</w:t>
      </w:r>
    </w:p>
    <w:p w:rsidR="00A66B3D" w:rsidRDefault="000A1F69">
      <w:pPr>
        <w:numPr>
          <w:ilvl w:val="0"/>
          <w:numId w:val="1"/>
        </w:numPr>
      </w:pPr>
      <w:r>
        <w:t>Pesquisa direta com no mínimo 3 (três) fornecedores;</w:t>
      </w:r>
    </w:p>
    <w:p w:rsidR="00A66B3D" w:rsidRDefault="000A1F69">
      <w:pPr>
        <w:jc w:val="both"/>
      </w:pPr>
      <w:r>
        <w:rPr>
          <w:b/>
          <w:bCs/>
          <w:i/>
          <w:iCs/>
        </w:rPr>
        <w:t>PNCP</w:t>
      </w:r>
      <w:r>
        <w:rPr>
          <w:i/>
          <w:iCs/>
        </w:rPr>
        <w:t xml:space="preserve"> - As cotações devem se referir a contratações realizadas em até 12 meses antes da presente pesquisa.</w:t>
      </w:r>
      <w:r>
        <w:br/>
      </w:r>
      <w:r>
        <w:rPr>
          <w:b/>
          <w:bCs/>
          <w:i/>
          <w:iCs/>
        </w:rPr>
        <w:t xml:space="preserve">Contratações similares </w:t>
      </w:r>
      <w:r>
        <w:rPr>
          <w:i/>
          <w:iCs/>
        </w:rPr>
        <w:t>- As cotações devem se referir a contratações em execução ou concluídas em até 12 meses antes da presente pesquisa, corrigidas monetariamente por índice oficial. Os preços de Sistema de Registro de Preços (SRP) também podem ser utilizados na cotação, desde que corrigidos monetariamente por índice oficial.</w:t>
      </w:r>
      <w:r>
        <w:br/>
      </w:r>
      <w:r>
        <w:rPr>
          <w:b/>
          <w:bCs/>
          <w:i/>
          <w:iCs/>
        </w:rPr>
        <w:t>Sítios eletrônicos especializados ou de domínio amplo</w:t>
      </w:r>
      <w:r>
        <w:rPr>
          <w:i/>
          <w:iCs/>
        </w:rPr>
        <w:t xml:space="preserve"> - As cotações de sites especializados ou de domínio público devem se referir a preços registrados em até 6 meses antes da presente pesquisa e deve conter data e hora do acesso. Essa opção compreende tabela de referência aprovada pelo Poder Executivo.</w:t>
      </w:r>
      <w:r>
        <w:br/>
      </w:r>
      <w:r>
        <w:rPr>
          <w:b/>
          <w:bCs/>
          <w:i/>
          <w:iCs/>
        </w:rPr>
        <w:t xml:space="preserve">Pesquisa direta com fornecedores </w:t>
      </w:r>
      <w:r>
        <w:rPr>
          <w:i/>
          <w:iCs/>
        </w:rPr>
        <w:t>-  Deve-se justificar a utilização dessa base de pesquisa e o motivo da escolha dos fornecedores consultados. A motivação é necessária porque essa fonte de preço é excepcional, devendo ser dada preferência às outras fontes.</w:t>
      </w:r>
      <w:r>
        <w:br/>
      </w:r>
      <w:r>
        <w:rPr>
          <w:b/>
          <w:bCs/>
          <w:i/>
          <w:iCs/>
        </w:rPr>
        <w:t xml:space="preserve">Pesquisa </w:t>
      </w:r>
      <w:proofErr w:type="spellStart"/>
      <w:r>
        <w:rPr>
          <w:b/>
          <w:bCs/>
          <w:i/>
          <w:iCs/>
        </w:rPr>
        <w:t>NFSe</w:t>
      </w:r>
      <w:proofErr w:type="spellEnd"/>
      <w:r>
        <w:rPr>
          <w:i/>
          <w:iCs/>
        </w:rPr>
        <w:t xml:space="preserve"> - As cotações devem se referir a notas fiscais emitidas em até 12 meses antes da presente pesquisa.</w:t>
      </w:r>
    </w:p>
    <w:p w:rsidR="00A66B3D" w:rsidRDefault="000A1F69">
      <w:pPr>
        <w:jc w:val="both"/>
      </w:pPr>
      <w:r>
        <w:rPr>
          <w:b/>
          <w:bCs/>
        </w:rPr>
        <w:t>4 - JUSTIFICATIVA DA ESCOLHA DOS FORNECEDORES QUE PARTICIPARAM DA PESQUISA DE PREÇOS, SE FOR O CASO</w:t>
      </w:r>
    </w:p>
    <w:p w:rsidR="00A66B3D" w:rsidRDefault="000A1F69">
      <w:pPr>
        <w:numPr>
          <w:ilvl w:val="0"/>
          <w:numId w:val="2"/>
        </w:numPr>
      </w:pPr>
      <w:r>
        <w:t>Fornecedores que atuam no ramo empresarial relativo ao objeto da contratação;</w:t>
      </w:r>
    </w:p>
    <w:p w:rsidR="00A66B3D" w:rsidRDefault="000A1F69">
      <w:pPr>
        <w:numPr>
          <w:ilvl w:val="0"/>
          <w:numId w:val="2"/>
        </w:numPr>
      </w:pPr>
      <w:r>
        <w:t>Fornecedores cadastrados junto ao contratante e/ou que tenham fornecido no passado objeto similar;</w:t>
      </w:r>
    </w:p>
    <w:p w:rsidR="00D77A91" w:rsidRDefault="00D77A91" w:rsidP="00D77A91">
      <w:pPr>
        <w:ind w:left="720"/>
      </w:pPr>
    </w:p>
    <w:p w:rsidR="00A66B3D" w:rsidRDefault="000A1F69">
      <w:pPr>
        <w:jc w:val="both"/>
      </w:pPr>
      <w:r>
        <w:rPr>
          <w:b/>
          <w:bCs/>
        </w:rPr>
        <w:t>5 - METODOLOGIA DA ESTIMATIVA DE PREÇO E MEMÓRIA DE CÁLCULO DO VALOR ESTIMADO COM RESULTADO DA PESQUISA E PREÇOS ENCONTRADOS.</w:t>
      </w:r>
    </w:p>
    <w:p w:rsidR="00A66B3D" w:rsidRDefault="000A1F69">
      <w:pPr>
        <w:jc w:val="both"/>
      </w:pPr>
      <w:r>
        <w:rPr>
          <w:b/>
          <w:bCs/>
        </w:rPr>
        <w:lastRenderedPageBreak/>
        <w:t xml:space="preserve">5.1 - Metodologia utilizada: </w:t>
      </w:r>
      <w:r>
        <w:t xml:space="preserve">Menor Preço (Mercado restritivo)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5"/>
        <w:gridCol w:w="1037"/>
        <w:gridCol w:w="1300"/>
        <w:gridCol w:w="1133"/>
        <w:gridCol w:w="1315"/>
        <w:gridCol w:w="1260"/>
        <w:gridCol w:w="1271"/>
        <w:gridCol w:w="1442"/>
      </w:tblGrid>
      <w:tr w:rsidR="00FD3D8A" w:rsidTr="00D77A91">
        <w:trPr>
          <w:trHeight w:val="1331"/>
          <w:tblHeader/>
        </w:trPr>
        <w:tc>
          <w:tcPr>
            <w:tcW w:w="615" w:type="dxa"/>
            <w:shd w:val="clear" w:color="auto" w:fill="E0E0E0"/>
            <w:noWrap/>
            <w:tcMar>
              <w:top w:w="113" w:type="dxa"/>
              <w:left w:w="113" w:type="dxa"/>
              <w:bottom w:w="113" w:type="dxa"/>
              <w:right w:w="113" w:type="dxa"/>
            </w:tcMar>
          </w:tcPr>
          <w:p w:rsidR="00FD3D8A" w:rsidRDefault="00FD3D8A">
            <w:pPr>
              <w:jc w:val="center"/>
            </w:pPr>
            <w:r>
              <w:rPr>
                <w:shd w:val="clear" w:color="auto" w:fill="E0E0E0"/>
              </w:rPr>
              <w:t>Item</w:t>
            </w:r>
          </w:p>
        </w:tc>
        <w:tc>
          <w:tcPr>
            <w:tcW w:w="1062" w:type="dxa"/>
            <w:shd w:val="clear" w:color="auto" w:fill="E0E0E0"/>
          </w:tcPr>
          <w:p w:rsidR="00FD3D8A" w:rsidRDefault="00FD3D8A">
            <w:pPr>
              <w:jc w:val="center"/>
              <w:rPr>
                <w:shd w:val="clear" w:color="auto" w:fill="E0E0E0"/>
              </w:rPr>
            </w:pPr>
            <w:r>
              <w:rPr>
                <w:shd w:val="clear" w:color="auto" w:fill="E0E0E0"/>
              </w:rPr>
              <w:t>Descrição</w:t>
            </w:r>
          </w:p>
        </w:tc>
        <w:tc>
          <w:tcPr>
            <w:tcW w:w="1300" w:type="dxa"/>
            <w:shd w:val="clear" w:color="auto" w:fill="E0E0E0"/>
            <w:noWrap/>
            <w:tcMar>
              <w:top w:w="113" w:type="dxa"/>
              <w:left w:w="113" w:type="dxa"/>
              <w:bottom w:w="113" w:type="dxa"/>
              <w:right w:w="113" w:type="dxa"/>
            </w:tcMar>
          </w:tcPr>
          <w:p w:rsidR="00FD3D8A" w:rsidRDefault="00FD3D8A">
            <w:pPr>
              <w:jc w:val="center"/>
              <w:rPr>
                <w:shd w:val="clear" w:color="auto" w:fill="E0E0E0"/>
              </w:rPr>
            </w:pPr>
            <w:r>
              <w:rPr>
                <w:shd w:val="clear" w:color="auto" w:fill="E0E0E0"/>
              </w:rPr>
              <w:t>Fonte Pesq. 1</w:t>
            </w:r>
          </w:p>
          <w:p w:rsidR="00FD3D8A" w:rsidRPr="00FD3D8A" w:rsidRDefault="00FD3D8A">
            <w:pPr>
              <w:jc w:val="center"/>
              <w:rPr>
                <w:b/>
              </w:rPr>
            </w:pPr>
            <w:r w:rsidRPr="00FD3D8A">
              <w:rPr>
                <w:b/>
                <w:shd w:val="clear" w:color="auto" w:fill="E0E0E0"/>
              </w:rPr>
              <w:t>Prefeitura de Matias Barbosa</w:t>
            </w:r>
          </w:p>
        </w:tc>
        <w:tc>
          <w:tcPr>
            <w:tcW w:w="1133" w:type="dxa"/>
            <w:shd w:val="clear" w:color="auto" w:fill="E0E0E0"/>
            <w:noWrap/>
            <w:tcMar>
              <w:top w:w="113" w:type="dxa"/>
              <w:left w:w="113" w:type="dxa"/>
              <w:bottom w:w="113" w:type="dxa"/>
              <w:right w:w="113" w:type="dxa"/>
            </w:tcMar>
          </w:tcPr>
          <w:p w:rsidR="00FD3D8A" w:rsidRDefault="00FD3D8A">
            <w:pPr>
              <w:jc w:val="center"/>
              <w:rPr>
                <w:shd w:val="clear" w:color="auto" w:fill="E0E0E0"/>
              </w:rPr>
            </w:pPr>
            <w:r>
              <w:rPr>
                <w:shd w:val="clear" w:color="auto" w:fill="E0E0E0"/>
              </w:rPr>
              <w:t>Fonte Pesq. 2</w:t>
            </w:r>
          </w:p>
          <w:p w:rsidR="00FD3D8A" w:rsidRPr="00FD3D8A" w:rsidRDefault="00FD3D8A">
            <w:pPr>
              <w:jc w:val="center"/>
              <w:rPr>
                <w:b/>
              </w:rPr>
            </w:pPr>
            <w:r w:rsidRPr="00FD3D8A">
              <w:rPr>
                <w:b/>
                <w:shd w:val="clear" w:color="auto" w:fill="E0E0E0"/>
              </w:rPr>
              <w:t>Pref. Bueno Brandão</w:t>
            </w:r>
          </w:p>
        </w:tc>
        <w:tc>
          <w:tcPr>
            <w:tcW w:w="1315" w:type="dxa"/>
            <w:shd w:val="clear" w:color="auto" w:fill="E0E0E0"/>
            <w:noWrap/>
            <w:tcMar>
              <w:top w:w="113" w:type="dxa"/>
              <w:left w:w="113" w:type="dxa"/>
              <w:bottom w:w="113" w:type="dxa"/>
              <w:right w:w="113" w:type="dxa"/>
            </w:tcMar>
          </w:tcPr>
          <w:p w:rsidR="00FD3D8A" w:rsidRDefault="00FD3D8A">
            <w:pPr>
              <w:jc w:val="center"/>
              <w:rPr>
                <w:shd w:val="clear" w:color="auto" w:fill="E0E0E0"/>
              </w:rPr>
            </w:pPr>
            <w:r>
              <w:rPr>
                <w:shd w:val="clear" w:color="auto" w:fill="E0E0E0"/>
              </w:rPr>
              <w:t>Fonte Pesq. 3</w:t>
            </w:r>
          </w:p>
          <w:p w:rsidR="00FD3D8A" w:rsidRPr="00FD3D8A" w:rsidRDefault="00FD3D8A">
            <w:pPr>
              <w:jc w:val="center"/>
              <w:rPr>
                <w:b/>
              </w:rPr>
            </w:pPr>
            <w:r w:rsidRPr="00FD3D8A">
              <w:rPr>
                <w:b/>
                <w:shd w:val="clear" w:color="auto" w:fill="E0E0E0"/>
              </w:rPr>
              <w:t>Pref. de Buenopolis</w:t>
            </w:r>
          </w:p>
        </w:tc>
        <w:tc>
          <w:tcPr>
            <w:tcW w:w="1260" w:type="dxa"/>
            <w:shd w:val="clear" w:color="auto" w:fill="E0E0E0"/>
            <w:noWrap/>
            <w:tcMar>
              <w:top w:w="113" w:type="dxa"/>
              <w:left w:w="113" w:type="dxa"/>
              <w:bottom w:w="113" w:type="dxa"/>
              <w:right w:w="113" w:type="dxa"/>
            </w:tcMar>
          </w:tcPr>
          <w:p w:rsidR="00FD3D8A" w:rsidRDefault="00FD3D8A">
            <w:pPr>
              <w:jc w:val="center"/>
              <w:rPr>
                <w:shd w:val="clear" w:color="auto" w:fill="E0E0E0"/>
              </w:rPr>
            </w:pPr>
            <w:r>
              <w:rPr>
                <w:shd w:val="clear" w:color="auto" w:fill="E0E0E0"/>
              </w:rPr>
              <w:t>Fonte Pesq. 4</w:t>
            </w:r>
          </w:p>
          <w:p w:rsidR="00FD3D8A" w:rsidRPr="00FD3D8A" w:rsidRDefault="00FD3D8A">
            <w:pPr>
              <w:jc w:val="center"/>
              <w:rPr>
                <w:b/>
              </w:rPr>
            </w:pPr>
            <w:r w:rsidRPr="00FD3D8A">
              <w:rPr>
                <w:b/>
                <w:shd w:val="clear" w:color="auto" w:fill="E0E0E0"/>
              </w:rPr>
              <w:t>Pref. de Campestre</w:t>
            </w:r>
          </w:p>
        </w:tc>
        <w:tc>
          <w:tcPr>
            <w:tcW w:w="1271" w:type="dxa"/>
            <w:shd w:val="clear" w:color="auto" w:fill="E0E0E0"/>
            <w:noWrap/>
            <w:tcMar>
              <w:top w:w="113" w:type="dxa"/>
              <w:left w:w="113" w:type="dxa"/>
              <w:bottom w:w="113" w:type="dxa"/>
              <w:right w:w="113" w:type="dxa"/>
            </w:tcMar>
          </w:tcPr>
          <w:p w:rsidR="00FD3D8A" w:rsidRDefault="00FD3D8A">
            <w:pPr>
              <w:jc w:val="center"/>
              <w:rPr>
                <w:shd w:val="clear" w:color="auto" w:fill="E0E0E0"/>
              </w:rPr>
            </w:pPr>
            <w:r>
              <w:rPr>
                <w:shd w:val="clear" w:color="auto" w:fill="E0E0E0"/>
              </w:rPr>
              <w:t>Fonte Pesq. 5</w:t>
            </w:r>
          </w:p>
          <w:p w:rsidR="00FD3D8A" w:rsidRPr="00FD3D8A" w:rsidRDefault="00FD3D8A">
            <w:pPr>
              <w:jc w:val="center"/>
              <w:rPr>
                <w:b/>
              </w:rPr>
            </w:pPr>
            <w:r w:rsidRPr="00FD3D8A">
              <w:rPr>
                <w:b/>
                <w:shd w:val="clear" w:color="auto" w:fill="E0E0E0"/>
              </w:rPr>
              <w:t xml:space="preserve">Pref. de </w:t>
            </w:r>
            <w:proofErr w:type="spellStart"/>
            <w:r w:rsidRPr="00FD3D8A">
              <w:rPr>
                <w:b/>
                <w:shd w:val="clear" w:color="auto" w:fill="E0E0E0"/>
              </w:rPr>
              <w:t>Congonhal</w:t>
            </w:r>
            <w:proofErr w:type="spellEnd"/>
          </w:p>
        </w:tc>
        <w:tc>
          <w:tcPr>
            <w:tcW w:w="1542" w:type="dxa"/>
            <w:shd w:val="clear" w:color="auto" w:fill="E0E0E0"/>
          </w:tcPr>
          <w:p w:rsidR="00FD3D8A" w:rsidRDefault="00FD3D8A" w:rsidP="00D77A91">
            <w:pPr>
              <w:spacing w:after="0"/>
              <w:jc w:val="center"/>
              <w:rPr>
                <w:shd w:val="clear" w:color="auto" w:fill="E0E0E0"/>
              </w:rPr>
            </w:pPr>
            <w:r>
              <w:rPr>
                <w:shd w:val="clear" w:color="auto" w:fill="E0E0E0"/>
              </w:rPr>
              <w:t>Fonte Pesq. 6</w:t>
            </w:r>
          </w:p>
          <w:p w:rsidR="00D77A91" w:rsidRDefault="00D77A91" w:rsidP="00D77A91">
            <w:pPr>
              <w:spacing w:after="0"/>
              <w:jc w:val="center"/>
              <w:rPr>
                <w:b/>
                <w:shd w:val="clear" w:color="auto" w:fill="E0E0E0"/>
              </w:rPr>
            </w:pPr>
          </w:p>
          <w:p w:rsidR="00D77A91" w:rsidRDefault="00D77A91" w:rsidP="00D77A91">
            <w:pPr>
              <w:spacing w:after="0"/>
              <w:jc w:val="center"/>
              <w:rPr>
                <w:b/>
                <w:shd w:val="clear" w:color="auto" w:fill="E0E0E0"/>
              </w:rPr>
            </w:pPr>
            <w:proofErr w:type="spellStart"/>
            <w:r w:rsidRPr="00D77A91">
              <w:rPr>
                <w:b/>
                <w:shd w:val="clear" w:color="auto" w:fill="E0E0E0"/>
              </w:rPr>
              <w:t>Alfalagos</w:t>
            </w:r>
            <w:proofErr w:type="spellEnd"/>
          </w:p>
          <w:p w:rsidR="00D77A91" w:rsidRDefault="00D77A91" w:rsidP="00D77A91">
            <w:pPr>
              <w:spacing w:after="0"/>
              <w:jc w:val="center"/>
              <w:rPr>
                <w:b/>
                <w:shd w:val="clear" w:color="auto" w:fill="E0E0E0"/>
              </w:rPr>
            </w:pPr>
          </w:p>
          <w:p w:rsidR="00D77A91" w:rsidRDefault="00D77A91" w:rsidP="00D77A91">
            <w:pPr>
              <w:spacing w:after="0"/>
              <w:jc w:val="center"/>
              <w:rPr>
                <w:shd w:val="clear" w:color="auto" w:fill="E0E0E0"/>
              </w:rPr>
            </w:pPr>
            <w:r w:rsidRPr="00D77A91">
              <w:rPr>
                <w:b/>
                <w:shd w:val="clear" w:color="auto" w:fill="E0E0E0"/>
              </w:rPr>
              <w:t xml:space="preserve">Consorcio </w:t>
            </w:r>
            <w:proofErr w:type="spellStart"/>
            <w:r w:rsidRPr="00D77A91">
              <w:rPr>
                <w:b/>
                <w:shd w:val="clear" w:color="auto" w:fill="E0E0E0"/>
              </w:rPr>
              <w:t>Cislagos</w:t>
            </w:r>
            <w:proofErr w:type="spellEnd"/>
          </w:p>
        </w:tc>
      </w:tr>
      <w:tr w:rsidR="00FD3D8A" w:rsidTr="00D77A91">
        <w:tc>
          <w:tcPr>
            <w:tcW w:w="615" w:type="dxa"/>
            <w:noWrap/>
          </w:tcPr>
          <w:p w:rsidR="00FD3D8A" w:rsidRDefault="00FD3D8A">
            <w:pPr>
              <w:jc w:val="center"/>
            </w:pPr>
            <w:r>
              <w:t>01 </w:t>
            </w:r>
          </w:p>
        </w:tc>
        <w:tc>
          <w:tcPr>
            <w:tcW w:w="1062" w:type="dxa"/>
          </w:tcPr>
          <w:p w:rsidR="00FD3D8A" w:rsidRDefault="00FD3D8A" w:rsidP="00FD3D8A">
            <w:pPr>
              <w:jc w:val="center"/>
            </w:pPr>
            <w:r>
              <w:t>Éticos</w:t>
            </w:r>
          </w:p>
        </w:tc>
        <w:tc>
          <w:tcPr>
            <w:tcW w:w="1300" w:type="dxa"/>
            <w:noWrap/>
          </w:tcPr>
          <w:p w:rsidR="00FD3D8A" w:rsidRDefault="00FD3D8A" w:rsidP="00FD3D8A">
            <w:pPr>
              <w:jc w:val="center"/>
            </w:pPr>
          </w:p>
        </w:tc>
        <w:tc>
          <w:tcPr>
            <w:tcW w:w="1133" w:type="dxa"/>
            <w:noWrap/>
          </w:tcPr>
          <w:p w:rsidR="00FD3D8A" w:rsidRDefault="00FD3D8A" w:rsidP="00FD3D8A">
            <w:pPr>
              <w:jc w:val="center"/>
            </w:pPr>
          </w:p>
        </w:tc>
        <w:tc>
          <w:tcPr>
            <w:tcW w:w="1315" w:type="dxa"/>
            <w:noWrap/>
          </w:tcPr>
          <w:p w:rsidR="00FD3D8A" w:rsidRDefault="00FD3D8A" w:rsidP="00FD3D8A">
            <w:pPr>
              <w:jc w:val="center"/>
            </w:pPr>
          </w:p>
        </w:tc>
        <w:tc>
          <w:tcPr>
            <w:tcW w:w="1260" w:type="dxa"/>
            <w:noWrap/>
          </w:tcPr>
          <w:p w:rsidR="00FD3D8A" w:rsidRDefault="00FD3D8A" w:rsidP="00FD3D8A">
            <w:pPr>
              <w:jc w:val="center"/>
            </w:pPr>
            <w:r>
              <w:t>0,01%</w:t>
            </w:r>
          </w:p>
        </w:tc>
        <w:tc>
          <w:tcPr>
            <w:tcW w:w="1271" w:type="dxa"/>
            <w:noWrap/>
          </w:tcPr>
          <w:p w:rsidR="00FD3D8A" w:rsidRDefault="00FD3D8A" w:rsidP="00FD3D8A">
            <w:pPr>
              <w:jc w:val="center"/>
            </w:pPr>
            <w:r>
              <w:t>0,01%</w:t>
            </w:r>
          </w:p>
        </w:tc>
        <w:tc>
          <w:tcPr>
            <w:tcW w:w="1542" w:type="dxa"/>
          </w:tcPr>
          <w:p w:rsidR="00FD3D8A" w:rsidRDefault="00D77A91" w:rsidP="00FD3D8A">
            <w:pPr>
              <w:jc w:val="center"/>
            </w:pPr>
            <w:r>
              <w:t>0,02%</w:t>
            </w:r>
          </w:p>
        </w:tc>
      </w:tr>
      <w:tr w:rsidR="00FD3D8A" w:rsidTr="00D77A91">
        <w:tc>
          <w:tcPr>
            <w:tcW w:w="615" w:type="dxa"/>
            <w:noWrap/>
          </w:tcPr>
          <w:p w:rsidR="00FD3D8A" w:rsidRDefault="00FD3D8A">
            <w:pPr>
              <w:jc w:val="center"/>
            </w:pPr>
            <w:r>
              <w:t>02</w:t>
            </w:r>
          </w:p>
        </w:tc>
        <w:tc>
          <w:tcPr>
            <w:tcW w:w="1062" w:type="dxa"/>
          </w:tcPr>
          <w:p w:rsidR="00FD3D8A" w:rsidRDefault="00FD3D8A" w:rsidP="00FD3D8A">
            <w:pPr>
              <w:jc w:val="center"/>
            </w:pPr>
            <w:r>
              <w:t>Genéricos</w:t>
            </w:r>
          </w:p>
        </w:tc>
        <w:tc>
          <w:tcPr>
            <w:tcW w:w="1300" w:type="dxa"/>
            <w:noWrap/>
          </w:tcPr>
          <w:p w:rsidR="00FD3D8A" w:rsidRDefault="00FD3D8A" w:rsidP="00FD3D8A">
            <w:pPr>
              <w:jc w:val="center"/>
            </w:pPr>
            <w:r>
              <w:t>62%</w:t>
            </w:r>
          </w:p>
        </w:tc>
        <w:tc>
          <w:tcPr>
            <w:tcW w:w="1133" w:type="dxa"/>
            <w:noWrap/>
          </w:tcPr>
          <w:p w:rsidR="00FD3D8A" w:rsidRDefault="00FD3D8A" w:rsidP="00FD3D8A">
            <w:pPr>
              <w:jc w:val="center"/>
            </w:pPr>
            <w:r>
              <w:t>30,31%</w:t>
            </w:r>
          </w:p>
        </w:tc>
        <w:tc>
          <w:tcPr>
            <w:tcW w:w="1315" w:type="dxa"/>
            <w:noWrap/>
          </w:tcPr>
          <w:p w:rsidR="00FD3D8A" w:rsidRDefault="00FD3D8A" w:rsidP="00FD3D8A">
            <w:pPr>
              <w:jc w:val="center"/>
            </w:pPr>
            <w:r>
              <w:t>49,90%</w:t>
            </w:r>
          </w:p>
        </w:tc>
        <w:tc>
          <w:tcPr>
            <w:tcW w:w="1260" w:type="dxa"/>
            <w:noWrap/>
          </w:tcPr>
          <w:p w:rsidR="00FD3D8A" w:rsidRDefault="00FD3D8A" w:rsidP="00FD3D8A">
            <w:pPr>
              <w:jc w:val="center"/>
            </w:pPr>
          </w:p>
        </w:tc>
        <w:tc>
          <w:tcPr>
            <w:tcW w:w="1271" w:type="dxa"/>
            <w:noWrap/>
          </w:tcPr>
          <w:p w:rsidR="00FD3D8A" w:rsidRDefault="00FD3D8A" w:rsidP="00FD3D8A">
            <w:pPr>
              <w:jc w:val="center"/>
            </w:pPr>
          </w:p>
        </w:tc>
        <w:tc>
          <w:tcPr>
            <w:tcW w:w="1542" w:type="dxa"/>
          </w:tcPr>
          <w:p w:rsidR="00FD3D8A" w:rsidRDefault="00D77A91" w:rsidP="00FD3D8A">
            <w:pPr>
              <w:jc w:val="center"/>
            </w:pPr>
            <w:r>
              <w:t>62,01%</w:t>
            </w:r>
          </w:p>
        </w:tc>
      </w:tr>
      <w:tr w:rsidR="00FD3D8A" w:rsidTr="00D77A91">
        <w:tc>
          <w:tcPr>
            <w:tcW w:w="615" w:type="dxa"/>
            <w:noWrap/>
          </w:tcPr>
          <w:p w:rsidR="00FD3D8A" w:rsidRDefault="00FD3D8A">
            <w:pPr>
              <w:jc w:val="center"/>
            </w:pPr>
            <w:r>
              <w:t>03</w:t>
            </w:r>
          </w:p>
        </w:tc>
        <w:tc>
          <w:tcPr>
            <w:tcW w:w="1062" w:type="dxa"/>
          </w:tcPr>
          <w:p w:rsidR="00FD3D8A" w:rsidRDefault="00FD3D8A" w:rsidP="00FD3D8A">
            <w:pPr>
              <w:jc w:val="center"/>
            </w:pPr>
            <w:r>
              <w:t>Similar</w:t>
            </w:r>
          </w:p>
        </w:tc>
        <w:tc>
          <w:tcPr>
            <w:tcW w:w="1300" w:type="dxa"/>
            <w:noWrap/>
          </w:tcPr>
          <w:p w:rsidR="00FD3D8A" w:rsidRDefault="00FD3D8A" w:rsidP="00FD3D8A">
            <w:pPr>
              <w:jc w:val="center"/>
            </w:pPr>
            <w:r>
              <w:t>48%</w:t>
            </w:r>
          </w:p>
        </w:tc>
        <w:tc>
          <w:tcPr>
            <w:tcW w:w="1133" w:type="dxa"/>
            <w:noWrap/>
          </w:tcPr>
          <w:p w:rsidR="00FD3D8A" w:rsidRDefault="00FD3D8A" w:rsidP="00FD3D8A">
            <w:pPr>
              <w:jc w:val="center"/>
            </w:pPr>
            <w:r>
              <w:t>30,63%</w:t>
            </w:r>
          </w:p>
        </w:tc>
        <w:tc>
          <w:tcPr>
            <w:tcW w:w="1315" w:type="dxa"/>
            <w:noWrap/>
          </w:tcPr>
          <w:p w:rsidR="00FD3D8A" w:rsidRDefault="00FD3D8A" w:rsidP="00FD3D8A">
            <w:pPr>
              <w:jc w:val="center"/>
            </w:pPr>
            <w:r>
              <w:t>41,50%</w:t>
            </w:r>
          </w:p>
        </w:tc>
        <w:tc>
          <w:tcPr>
            <w:tcW w:w="1260" w:type="dxa"/>
            <w:noWrap/>
          </w:tcPr>
          <w:p w:rsidR="00FD3D8A" w:rsidRDefault="00FD3D8A" w:rsidP="00FD3D8A">
            <w:pPr>
              <w:jc w:val="center"/>
            </w:pPr>
          </w:p>
        </w:tc>
        <w:tc>
          <w:tcPr>
            <w:tcW w:w="1271" w:type="dxa"/>
            <w:noWrap/>
          </w:tcPr>
          <w:p w:rsidR="00FD3D8A" w:rsidRDefault="00FD3D8A" w:rsidP="00FD3D8A">
            <w:pPr>
              <w:jc w:val="center"/>
            </w:pPr>
          </w:p>
        </w:tc>
        <w:tc>
          <w:tcPr>
            <w:tcW w:w="1542" w:type="dxa"/>
          </w:tcPr>
          <w:p w:rsidR="00FD3D8A" w:rsidRDefault="00D77A91" w:rsidP="00FD3D8A">
            <w:pPr>
              <w:jc w:val="center"/>
            </w:pPr>
            <w:r>
              <w:t>52,01%</w:t>
            </w:r>
          </w:p>
        </w:tc>
      </w:tr>
    </w:tbl>
    <w:p w:rsidR="00A66B3D" w:rsidRDefault="00A66B3D"/>
    <w:p w:rsidR="00A66B3D" w:rsidRDefault="000A1F69">
      <w:r>
        <w:rPr>
          <w:b/>
          <w:bCs/>
        </w:rPr>
        <w:t xml:space="preserve">6 - </w:t>
      </w:r>
      <w:r>
        <w:t xml:space="preserve"> </w:t>
      </w:r>
      <w:r>
        <w:rPr>
          <w:b/>
          <w:bCs/>
        </w:rPr>
        <w:t>PLANILHA DE PREÇO ESTIMADO NA PESQUISA</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34"/>
        <w:gridCol w:w="3555"/>
        <w:gridCol w:w="910"/>
        <w:gridCol w:w="910"/>
        <w:gridCol w:w="1338"/>
        <w:gridCol w:w="1338"/>
      </w:tblGrid>
      <w:tr w:rsidR="00A66B3D" w:rsidTr="00D77A91">
        <w:trPr>
          <w:trHeight w:val="231"/>
          <w:tblHeader/>
        </w:trPr>
        <w:tc>
          <w:tcPr>
            <w:tcW w:w="1134" w:type="dxa"/>
            <w:shd w:val="clear" w:color="auto" w:fill="E0E0E0"/>
            <w:noWrap/>
            <w:tcMar>
              <w:top w:w="113" w:type="dxa"/>
              <w:left w:w="113" w:type="dxa"/>
              <w:bottom w:w="113" w:type="dxa"/>
              <w:right w:w="113" w:type="dxa"/>
            </w:tcMar>
          </w:tcPr>
          <w:p w:rsidR="00A66B3D" w:rsidRDefault="000A1F69">
            <w:pPr>
              <w:jc w:val="center"/>
            </w:pPr>
            <w:r>
              <w:rPr>
                <w:shd w:val="clear" w:color="auto" w:fill="E0E0E0"/>
              </w:rPr>
              <w:t>Item</w:t>
            </w:r>
          </w:p>
        </w:tc>
        <w:tc>
          <w:tcPr>
            <w:tcW w:w="3555" w:type="dxa"/>
            <w:shd w:val="clear" w:color="auto" w:fill="E0E0E0"/>
            <w:noWrap/>
            <w:tcMar>
              <w:top w:w="113" w:type="dxa"/>
              <w:left w:w="113" w:type="dxa"/>
              <w:bottom w:w="113" w:type="dxa"/>
              <w:right w:w="113" w:type="dxa"/>
            </w:tcMar>
          </w:tcPr>
          <w:p w:rsidR="00A66B3D" w:rsidRDefault="000A1F69">
            <w:pPr>
              <w:jc w:val="center"/>
            </w:pPr>
            <w:r>
              <w:rPr>
                <w:shd w:val="clear" w:color="auto" w:fill="E0E0E0"/>
              </w:rPr>
              <w:t>Descrição</w:t>
            </w:r>
          </w:p>
        </w:tc>
        <w:tc>
          <w:tcPr>
            <w:tcW w:w="910" w:type="dxa"/>
            <w:shd w:val="clear" w:color="auto" w:fill="E0E0E0"/>
            <w:noWrap/>
            <w:tcMar>
              <w:top w:w="113" w:type="dxa"/>
              <w:left w:w="113" w:type="dxa"/>
              <w:bottom w:w="113" w:type="dxa"/>
              <w:right w:w="113" w:type="dxa"/>
            </w:tcMar>
          </w:tcPr>
          <w:p w:rsidR="00A66B3D" w:rsidRDefault="000A1F69">
            <w:pPr>
              <w:jc w:val="center"/>
            </w:pPr>
            <w:r>
              <w:rPr>
                <w:shd w:val="clear" w:color="auto" w:fill="E0E0E0"/>
              </w:rPr>
              <w:t>Unid.</w:t>
            </w:r>
          </w:p>
        </w:tc>
        <w:tc>
          <w:tcPr>
            <w:tcW w:w="910" w:type="dxa"/>
            <w:shd w:val="clear" w:color="auto" w:fill="E0E0E0"/>
            <w:noWrap/>
            <w:tcMar>
              <w:top w:w="113" w:type="dxa"/>
              <w:left w:w="113" w:type="dxa"/>
              <w:bottom w:w="113" w:type="dxa"/>
              <w:right w:w="113" w:type="dxa"/>
            </w:tcMar>
          </w:tcPr>
          <w:p w:rsidR="00A66B3D" w:rsidRDefault="000A1F69" w:rsidP="00D77A91">
            <w:pPr>
              <w:jc w:val="center"/>
            </w:pPr>
            <w:r>
              <w:rPr>
                <w:shd w:val="clear" w:color="auto" w:fill="E0E0E0"/>
              </w:rPr>
              <w:t>Quant.</w:t>
            </w:r>
          </w:p>
        </w:tc>
        <w:tc>
          <w:tcPr>
            <w:tcW w:w="1338" w:type="dxa"/>
            <w:shd w:val="clear" w:color="auto" w:fill="E0E0E0"/>
            <w:noWrap/>
            <w:tcMar>
              <w:top w:w="113" w:type="dxa"/>
              <w:left w:w="113" w:type="dxa"/>
              <w:bottom w:w="113" w:type="dxa"/>
              <w:right w:w="113" w:type="dxa"/>
            </w:tcMar>
          </w:tcPr>
          <w:p w:rsidR="00A66B3D" w:rsidRDefault="000A1F69">
            <w:pPr>
              <w:jc w:val="center"/>
            </w:pPr>
            <w:proofErr w:type="spellStart"/>
            <w:r>
              <w:rPr>
                <w:shd w:val="clear" w:color="auto" w:fill="E0E0E0"/>
              </w:rPr>
              <w:t>Vlr</w:t>
            </w:r>
            <w:proofErr w:type="spellEnd"/>
            <w:r>
              <w:rPr>
                <w:shd w:val="clear" w:color="auto" w:fill="E0E0E0"/>
              </w:rPr>
              <w:t>. Unit.</w:t>
            </w:r>
          </w:p>
        </w:tc>
        <w:tc>
          <w:tcPr>
            <w:tcW w:w="1338" w:type="dxa"/>
            <w:shd w:val="clear" w:color="auto" w:fill="E0E0E0"/>
            <w:noWrap/>
            <w:tcMar>
              <w:top w:w="113" w:type="dxa"/>
              <w:left w:w="113" w:type="dxa"/>
              <w:bottom w:w="113" w:type="dxa"/>
              <w:right w:w="113" w:type="dxa"/>
            </w:tcMar>
          </w:tcPr>
          <w:p w:rsidR="00A66B3D" w:rsidRDefault="000A1F69">
            <w:pPr>
              <w:jc w:val="center"/>
            </w:pPr>
            <w:proofErr w:type="spellStart"/>
            <w:r>
              <w:rPr>
                <w:shd w:val="clear" w:color="auto" w:fill="E0E0E0"/>
              </w:rPr>
              <w:t>Vlr</w:t>
            </w:r>
            <w:proofErr w:type="spellEnd"/>
            <w:r>
              <w:rPr>
                <w:shd w:val="clear" w:color="auto" w:fill="E0E0E0"/>
              </w:rPr>
              <w:t>. Total</w:t>
            </w:r>
          </w:p>
        </w:tc>
      </w:tr>
      <w:tr w:rsidR="00D77A91" w:rsidTr="00D77A91">
        <w:tc>
          <w:tcPr>
            <w:tcW w:w="1134" w:type="dxa"/>
            <w:noWrap/>
          </w:tcPr>
          <w:p w:rsidR="00D77A91" w:rsidRDefault="00D77A91">
            <w:pPr>
              <w:jc w:val="center"/>
            </w:pPr>
            <w:r>
              <w:t>01</w:t>
            </w:r>
          </w:p>
        </w:tc>
        <w:tc>
          <w:tcPr>
            <w:tcW w:w="3555" w:type="dxa"/>
            <w:noWrap/>
          </w:tcPr>
          <w:p w:rsidR="00D77A91" w:rsidRDefault="00D77A91" w:rsidP="00D77A91">
            <w:pPr>
              <w:jc w:val="center"/>
            </w:pPr>
            <w:r>
              <w:t xml:space="preserve">Medicamentos </w:t>
            </w:r>
            <w:proofErr w:type="spellStart"/>
            <w:r>
              <w:t>èticos</w:t>
            </w:r>
            <w:proofErr w:type="spellEnd"/>
            <w:r>
              <w:t xml:space="preserve"> de "A" a "Z"</w:t>
            </w:r>
          </w:p>
        </w:tc>
        <w:tc>
          <w:tcPr>
            <w:tcW w:w="0" w:type="auto"/>
            <w:noWrap/>
          </w:tcPr>
          <w:p w:rsidR="00D77A91" w:rsidRDefault="00D77A91">
            <w:r>
              <w:t>UNID</w:t>
            </w:r>
          </w:p>
        </w:tc>
        <w:tc>
          <w:tcPr>
            <w:tcW w:w="0" w:type="auto"/>
            <w:noWrap/>
          </w:tcPr>
          <w:p w:rsidR="00D77A91" w:rsidRDefault="00D77A91" w:rsidP="00D77A91">
            <w:pPr>
              <w:jc w:val="center"/>
            </w:pPr>
            <w:r>
              <w:t>1</w:t>
            </w:r>
          </w:p>
        </w:tc>
        <w:tc>
          <w:tcPr>
            <w:tcW w:w="0" w:type="auto"/>
            <w:noWrap/>
          </w:tcPr>
          <w:p w:rsidR="00D77A91" w:rsidRDefault="00D77A91" w:rsidP="00D77A91">
            <w:pPr>
              <w:jc w:val="center"/>
            </w:pPr>
            <w:r>
              <w:t>40.000,00</w:t>
            </w:r>
          </w:p>
        </w:tc>
        <w:tc>
          <w:tcPr>
            <w:tcW w:w="0" w:type="auto"/>
            <w:noWrap/>
          </w:tcPr>
          <w:p w:rsidR="00D77A91" w:rsidRDefault="00D77A91" w:rsidP="00D77A91">
            <w:pPr>
              <w:jc w:val="center"/>
            </w:pPr>
            <w:r>
              <w:t>40.000,00</w:t>
            </w:r>
          </w:p>
        </w:tc>
      </w:tr>
      <w:tr w:rsidR="00D77A91" w:rsidTr="00D77A91">
        <w:tc>
          <w:tcPr>
            <w:tcW w:w="1134" w:type="dxa"/>
            <w:noWrap/>
          </w:tcPr>
          <w:p w:rsidR="00D77A91" w:rsidRDefault="00D77A91">
            <w:pPr>
              <w:jc w:val="center"/>
            </w:pPr>
            <w:r>
              <w:t>02</w:t>
            </w:r>
          </w:p>
        </w:tc>
        <w:tc>
          <w:tcPr>
            <w:tcW w:w="3555" w:type="dxa"/>
            <w:noWrap/>
          </w:tcPr>
          <w:p w:rsidR="00D77A91" w:rsidRDefault="00D77A91" w:rsidP="00D77A91">
            <w:pPr>
              <w:jc w:val="center"/>
            </w:pPr>
            <w:r>
              <w:t xml:space="preserve">Medicamentos Genéricos de (A </w:t>
            </w:r>
            <w:proofErr w:type="spellStart"/>
            <w:r>
              <w:t>a</w:t>
            </w:r>
            <w:proofErr w:type="spellEnd"/>
            <w:r>
              <w:t xml:space="preserve"> Z)</w:t>
            </w:r>
          </w:p>
        </w:tc>
        <w:tc>
          <w:tcPr>
            <w:tcW w:w="0" w:type="auto"/>
            <w:noWrap/>
          </w:tcPr>
          <w:p w:rsidR="00D77A91" w:rsidRDefault="00D77A91">
            <w:r>
              <w:t>UNID</w:t>
            </w:r>
          </w:p>
        </w:tc>
        <w:tc>
          <w:tcPr>
            <w:tcW w:w="0" w:type="auto"/>
            <w:noWrap/>
          </w:tcPr>
          <w:p w:rsidR="00D77A91" w:rsidRDefault="00D77A91" w:rsidP="00D77A91">
            <w:pPr>
              <w:jc w:val="center"/>
            </w:pPr>
            <w:r>
              <w:t>1</w:t>
            </w:r>
          </w:p>
        </w:tc>
        <w:tc>
          <w:tcPr>
            <w:tcW w:w="0" w:type="auto"/>
            <w:noWrap/>
          </w:tcPr>
          <w:p w:rsidR="00D77A91" w:rsidRDefault="00D77A91" w:rsidP="00D77A91">
            <w:pPr>
              <w:jc w:val="center"/>
            </w:pPr>
            <w:r>
              <w:t>140.000,00</w:t>
            </w:r>
          </w:p>
        </w:tc>
        <w:tc>
          <w:tcPr>
            <w:tcW w:w="0" w:type="auto"/>
            <w:noWrap/>
          </w:tcPr>
          <w:p w:rsidR="00D77A91" w:rsidRDefault="00D77A91" w:rsidP="00D77A91">
            <w:pPr>
              <w:jc w:val="center"/>
            </w:pPr>
            <w:r>
              <w:t>140.000,00</w:t>
            </w:r>
          </w:p>
        </w:tc>
      </w:tr>
      <w:tr w:rsidR="00A66B3D" w:rsidTr="00D77A91">
        <w:tc>
          <w:tcPr>
            <w:tcW w:w="1134" w:type="dxa"/>
            <w:noWrap/>
          </w:tcPr>
          <w:p w:rsidR="00A66B3D" w:rsidRDefault="00D77A91">
            <w:pPr>
              <w:jc w:val="center"/>
            </w:pPr>
            <w:r>
              <w:t>03</w:t>
            </w:r>
          </w:p>
        </w:tc>
        <w:tc>
          <w:tcPr>
            <w:tcW w:w="3555" w:type="dxa"/>
            <w:noWrap/>
          </w:tcPr>
          <w:p w:rsidR="00A66B3D" w:rsidRDefault="000A1F69" w:rsidP="00D77A91">
            <w:pPr>
              <w:jc w:val="center"/>
            </w:pPr>
            <w:r>
              <w:t xml:space="preserve">Medicamentos Similares de (A </w:t>
            </w:r>
            <w:proofErr w:type="spellStart"/>
            <w:r>
              <w:t>a</w:t>
            </w:r>
            <w:proofErr w:type="spellEnd"/>
            <w:r>
              <w:t xml:space="preserve"> Z)</w:t>
            </w:r>
          </w:p>
        </w:tc>
        <w:tc>
          <w:tcPr>
            <w:tcW w:w="0" w:type="auto"/>
            <w:noWrap/>
          </w:tcPr>
          <w:p w:rsidR="00A66B3D" w:rsidRDefault="000A1F69">
            <w:r>
              <w:t>UNID</w:t>
            </w:r>
          </w:p>
        </w:tc>
        <w:tc>
          <w:tcPr>
            <w:tcW w:w="0" w:type="auto"/>
            <w:noWrap/>
          </w:tcPr>
          <w:p w:rsidR="00A66B3D" w:rsidRDefault="000A1F69" w:rsidP="00D77A91">
            <w:pPr>
              <w:jc w:val="center"/>
            </w:pPr>
            <w:r>
              <w:t>1</w:t>
            </w:r>
          </w:p>
        </w:tc>
        <w:tc>
          <w:tcPr>
            <w:tcW w:w="0" w:type="auto"/>
            <w:noWrap/>
          </w:tcPr>
          <w:p w:rsidR="00A66B3D" w:rsidRDefault="00D77A91" w:rsidP="00D77A91">
            <w:pPr>
              <w:jc w:val="center"/>
            </w:pPr>
            <w:r>
              <w:t>120.000,00</w:t>
            </w:r>
          </w:p>
        </w:tc>
        <w:tc>
          <w:tcPr>
            <w:tcW w:w="0" w:type="auto"/>
            <w:noWrap/>
          </w:tcPr>
          <w:p w:rsidR="00A66B3D" w:rsidRDefault="000A1F69" w:rsidP="00D77A91">
            <w:pPr>
              <w:jc w:val="center"/>
            </w:pPr>
            <w:r>
              <w:t>120.000,00</w:t>
            </w:r>
          </w:p>
        </w:tc>
      </w:tr>
    </w:tbl>
    <w:p w:rsidR="00D77A91" w:rsidRDefault="00D77A91">
      <w:pPr>
        <w:jc w:val="both"/>
      </w:pPr>
    </w:p>
    <w:p w:rsidR="00A66B3D" w:rsidRDefault="000A1F69">
      <w:pPr>
        <w:jc w:val="both"/>
      </w:pPr>
      <w:r>
        <w:t>6.1 - O valor total estimado na pesquisa de preço é de R$ R</w:t>
      </w:r>
      <w:r w:rsidR="00D77A91">
        <w:t>$ 300.000,00(Trezentos mil reais).</w:t>
      </w:r>
    </w:p>
    <w:p w:rsidR="00A66B3D" w:rsidRDefault="000A1F69">
      <w:pPr>
        <w:jc w:val="both"/>
      </w:pPr>
      <w:r>
        <w:rPr>
          <w:b/>
          <w:bCs/>
        </w:rPr>
        <w:t>7 - CONCLUSÃO</w:t>
      </w:r>
    </w:p>
    <w:p w:rsidR="00A66B3D" w:rsidRDefault="000A1F69">
      <w:pPr>
        <w:jc w:val="both"/>
      </w:pPr>
      <w:r>
        <w:t xml:space="preserve">7.1 - Após pesquisar atas de outros municípios </w:t>
      </w:r>
      <w:r w:rsidR="00D77A91">
        <w:t>e realização</w:t>
      </w:r>
      <w:r>
        <w:t xml:space="preserve"> de pesquisa de preços em conformidade com o artigo 23 da Lei Federal nº 14.133/2021, certifica-se que o preço registrado é vantajoso em relação aos preços praticados no mercado; </w:t>
      </w:r>
    </w:p>
    <w:p w:rsidR="00A66B3D" w:rsidRDefault="00F940D4">
      <w:pPr>
        <w:jc w:val="both"/>
      </w:pPr>
      <w:r>
        <w:t>Liberdade, 25</w:t>
      </w:r>
      <w:bookmarkStart w:id="0" w:name="_GoBack"/>
      <w:bookmarkEnd w:id="0"/>
      <w:r w:rsidR="000A1F69">
        <w:t>/03/2026</w:t>
      </w:r>
    </w:p>
    <w:p w:rsidR="00200705" w:rsidRDefault="00200705">
      <w:pPr>
        <w:jc w:val="both"/>
      </w:pPr>
    </w:p>
    <w:p w:rsidR="00A66B3D" w:rsidRPr="00200705" w:rsidRDefault="000A1F69">
      <w:pPr>
        <w:jc w:val="center"/>
      </w:pPr>
      <w:r>
        <w:br/>
        <w:t>__________________________________________________</w:t>
      </w:r>
      <w:r>
        <w:br/>
      </w:r>
      <w:r w:rsidR="00200705" w:rsidRPr="00200705">
        <w:rPr>
          <w:rStyle w:val="Forte"/>
          <w:shd w:val="clear" w:color="auto" w:fill="FFFFFF"/>
        </w:rPr>
        <w:t>Leonardo Moreira Neves</w:t>
      </w:r>
      <w:r w:rsidR="00200705" w:rsidRPr="00200705">
        <w:br/>
      </w:r>
      <w:r w:rsidR="00200705" w:rsidRPr="00200705">
        <w:rPr>
          <w:shd w:val="clear" w:color="auto" w:fill="FFFFFF"/>
        </w:rPr>
        <w:t>Chefe de Compras e licitações</w:t>
      </w:r>
    </w:p>
    <w:sectPr w:rsidR="00A66B3D" w:rsidRPr="00200705" w:rsidSect="00D77A91">
      <w:headerReference w:type="default" r:id="rId7"/>
      <w:footerReference w:type="default" r:id="rId8"/>
      <w:pgSz w:w="11905" w:h="16837"/>
      <w:pgMar w:top="2834" w:right="1133" w:bottom="1133" w:left="12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06E" w:rsidRDefault="0094706E">
      <w:pPr>
        <w:spacing w:after="0" w:line="240" w:lineRule="auto"/>
      </w:pPr>
      <w:r>
        <w:separator/>
      </w:r>
    </w:p>
  </w:endnote>
  <w:endnote w:type="continuationSeparator" w:id="0">
    <w:p w:rsidR="0094706E" w:rsidRDefault="00947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 w:type="dxa"/>
      <w:tblBorders>
        <w:top w:val="single" w:sz="10" w:space="0" w:color="auto"/>
      </w:tblBorders>
      <w:tblCellMar>
        <w:left w:w="10" w:type="dxa"/>
        <w:right w:w="10" w:type="dxa"/>
      </w:tblCellMar>
      <w:tblLook w:val="0000" w:firstRow="0" w:lastRow="0" w:firstColumn="0" w:lastColumn="0" w:noHBand="0" w:noVBand="0"/>
    </w:tblPr>
    <w:tblGrid>
      <w:gridCol w:w="8220"/>
      <w:gridCol w:w="850"/>
    </w:tblGrid>
    <w:tr w:rsidR="00A66B3D">
      <w:tc>
        <w:tcPr>
          <w:tcW w:w="8220" w:type="dxa"/>
          <w:noWrap/>
        </w:tcPr>
        <w:p w:rsidR="00A66B3D" w:rsidRDefault="000A1F69">
          <w:r>
            <w:t>Rua Geraldo Magela de Barros Mendes, nº 121, Centro, Liberdade - MG</w:t>
          </w:r>
        </w:p>
      </w:tc>
      <w:tc>
        <w:tcPr>
          <w:tcW w:w="850" w:type="dxa"/>
          <w:noWrap/>
        </w:tcPr>
        <w:p w:rsidR="00A66B3D" w:rsidRDefault="000A1F69">
          <w:pPr>
            <w:jc w:val="right"/>
          </w:pPr>
          <w:r>
            <w:fldChar w:fldCharType="begin"/>
          </w:r>
          <w:r>
            <w:instrText>PAGE</w:instrText>
          </w:r>
          <w:r>
            <w:fldChar w:fldCharType="separate"/>
          </w:r>
          <w:r w:rsidR="00F940D4">
            <w:rPr>
              <w:noProof/>
            </w:rPr>
            <w:t>2</w:t>
          </w:r>
          <w:r>
            <w:fldChar w:fldCharType="end"/>
          </w:r>
          <w:r>
            <w:t>/</w:t>
          </w:r>
          <w:r>
            <w:fldChar w:fldCharType="begin"/>
          </w:r>
          <w:r>
            <w:instrText>NUMPAGES</w:instrText>
          </w:r>
          <w:r>
            <w:fldChar w:fldCharType="separate"/>
          </w:r>
          <w:r w:rsidR="00F940D4">
            <w:rPr>
              <w:noProof/>
            </w:rPr>
            <w:t>2</w:t>
          </w:r>
          <w: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06E" w:rsidRDefault="0094706E">
      <w:pPr>
        <w:spacing w:after="0" w:line="240" w:lineRule="auto"/>
      </w:pPr>
      <w:r>
        <w:separator/>
      </w:r>
    </w:p>
  </w:footnote>
  <w:footnote w:type="continuationSeparator" w:id="0">
    <w:p w:rsidR="0094706E" w:rsidRDefault="00947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B3D" w:rsidRDefault="00522200">
    <w:r>
      <w:rPr>
        <w:noProof/>
      </w:rPr>
      <w:drawing>
        <wp:anchor distT="0" distB="0" distL="114300" distR="114300" simplePos="0" relativeHeight="251657728" behindDoc="1" locked="0" layoutInCell="1" allowOverlap="1">
          <wp:simplePos x="0" y="0"/>
          <wp:positionH relativeFrom="page">
            <wp:align>left</wp:align>
          </wp:positionH>
          <wp:positionV relativeFrom="page">
            <wp:align>top</wp:align>
          </wp:positionV>
          <wp:extent cx="7560310" cy="1069213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0B0DFC7"/>
    <w:multiLevelType w:val="hybridMultilevel"/>
    <w:tmpl w:val="07F20A30"/>
    <w:lvl w:ilvl="0" w:tplc="49407E22">
      <w:start w:val="1"/>
      <w:numFmt w:val="bullet"/>
      <w:lvlText w:val="•"/>
      <w:lvlJc w:val="left"/>
      <w:pPr>
        <w:tabs>
          <w:tab w:val="num" w:pos="720"/>
        </w:tabs>
        <w:ind w:left="720" w:hanging="360"/>
      </w:pPr>
      <w:rPr>
        <w:rFonts w:ascii="Symbol" w:hAnsi="Symbol" w:cs="Symbol" w:hint="default"/>
      </w:rPr>
    </w:lvl>
    <w:lvl w:ilvl="1" w:tplc="4ED8166A">
      <w:start w:val="1"/>
      <w:numFmt w:val="bullet"/>
      <w:lvlText w:val="◦"/>
      <w:lvlJc w:val="left"/>
      <w:pPr>
        <w:tabs>
          <w:tab w:val="num" w:pos="1440"/>
        </w:tabs>
        <w:ind w:left="1440" w:hanging="360"/>
      </w:pPr>
      <w:rPr>
        <w:rFonts w:ascii="Courier New" w:hAnsi="Courier New" w:cs="Courier New" w:hint="default"/>
      </w:rPr>
    </w:lvl>
    <w:lvl w:ilvl="2" w:tplc="5C9C62DA">
      <w:start w:val="1"/>
      <w:numFmt w:val="bullet"/>
      <w:lvlText w:val="•"/>
      <w:lvlJc w:val="left"/>
      <w:pPr>
        <w:tabs>
          <w:tab w:val="num" w:pos="2160"/>
        </w:tabs>
        <w:ind w:left="2160" w:hanging="360"/>
      </w:pPr>
      <w:rPr>
        <w:rFonts w:ascii="Wingdings" w:hAnsi="Wingdings" w:cs="Wingdings" w:hint="default"/>
      </w:rPr>
    </w:lvl>
    <w:lvl w:ilvl="3" w:tplc="ADCE5C1E">
      <w:start w:val="1"/>
      <w:numFmt w:val="bullet"/>
      <w:lvlText w:val="•"/>
      <w:lvlJc w:val="left"/>
      <w:pPr>
        <w:tabs>
          <w:tab w:val="num" w:pos="2880"/>
        </w:tabs>
        <w:ind w:left="2880" w:hanging="360"/>
      </w:pPr>
      <w:rPr>
        <w:rFonts w:ascii="Symbol" w:hAnsi="Symbol" w:cs="Symbol" w:hint="default"/>
      </w:rPr>
    </w:lvl>
    <w:lvl w:ilvl="4" w:tplc="437C7876">
      <w:start w:val="1"/>
      <w:numFmt w:val="bullet"/>
      <w:lvlText w:val="◦"/>
      <w:lvlJc w:val="left"/>
      <w:pPr>
        <w:tabs>
          <w:tab w:val="num" w:pos="3600"/>
        </w:tabs>
        <w:ind w:left="3600" w:hanging="360"/>
      </w:pPr>
      <w:rPr>
        <w:rFonts w:ascii="Courier New" w:hAnsi="Courier New" w:cs="Courier New" w:hint="default"/>
      </w:rPr>
    </w:lvl>
    <w:lvl w:ilvl="5" w:tplc="B6B8482C">
      <w:start w:val="1"/>
      <w:numFmt w:val="bullet"/>
      <w:lvlText w:val="•"/>
      <w:lvlJc w:val="left"/>
      <w:pPr>
        <w:tabs>
          <w:tab w:val="num" w:pos="4320"/>
        </w:tabs>
        <w:ind w:left="4320" w:hanging="360"/>
      </w:pPr>
      <w:rPr>
        <w:rFonts w:ascii="Wingdings" w:hAnsi="Wingdings" w:cs="Wingdings" w:hint="default"/>
      </w:rPr>
    </w:lvl>
    <w:lvl w:ilvl="6" w:tplc="55760F48">
      <w:start w:val="1"/>
      <w:numFmt w:val="bullet"/>
      <w:lvlText w:val="•"/>
      <w:lvlJc w:val="left"/>
      <w:pPr>
        <w:tabs>
          <w:tab w:val="num" w:pos="5040"/>
        </w:tabs>
        <w:ind w:left="5040" w:hanging="360"/>
      </w:pPr>
      <w:rPr>
        <w:rFonts w:ascii="Symbol" w:hAnsi="Symbol" w:cs="Symbol" w:hint="default"/>
      </w:rPr>
    </w:lvl>
    <w:lvl w:ilvl="7" w:tplc="7DD4A802">
      <w:start w:val="1"/>
      <w:numFmt w:val="bullet"/>
      <w:lvlText w:val="◦"/>
      <w:lvlJc w:val="left"/>
      <w:pPr>
        <w:tabs>
          <w:tab w:val="num" w:pos="5760"/>
        </w:tabs>
        <w:ind w:left="5760" w:hanging="360"/>
      </w:pPr>
      <w:rPr>
        <w:rFonts w:ascii="Courier New" w:hAnsi="Courier New" w:cs="Courier New" w:hint="default"/>
      </w:rPr>
    </w:lvl>
    <w:lvl w:ilvl="8" w:tplc="BFACD48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D63DA69"/>
    <w:multiLevelType w:val="hybridMultilevel"/>
    <w:tmpl w:val="CC6CD42A"/>
    <w:lvl w:ilvl="0" w:tplc="E5822B06">
      <w:start w:val="1"/>
      <w:numFmt w:val="bullet"/>
      <w:lvlText w:val="•"/>
      <w:lvlJc w:val="left"/>
      <w:pPr>
        <w:tabs>
          <w:tab w:val="num" w:pos="720"/>
        </w:tabs>
        <w:ind w:left="720" w:hanging="360"/>
      </w:pPr>
      <w:rPr>
        <w:rFonts w:ascii="Symbol" w:hAnsi="Symbol" w:cs="Symbol" w:hint="default"/>
      </w:rPr>
    </w:lvl>
    <w:lvl w:ilvl="1" w:tplc="D09EBFF6">
      <w:start w:val="1"/>
      <w:numFmt w:val="bullet"/>
      <w:lvlText w:val="◦"/>
      <w:lvlJc w:val="left"/>
      <w:pPr>
        <w:tabs>
          <w:tab w:val="num" w:pos="1440"/>
        </w:tabs>
        <w:ind w:left="1440" w:hanging="360"/>
      </w:pPr>
      <w:rPr>
        <w:rFonts w:ascii="Courier New" w:hAnsi="Courier New" w:cs="Courier New" w:hint="default"/>
      </w:rPr>
    </w:lvl>
    <w:lvl w:ilvl="2" w:tplc="BF50E568">
      <w:start w:val="1"/>
      <w:numFmt w:val="bullet"/>
      <w:lvlText w:val="•"/>
      <w:lvlJc w:val="left"/>
      <w:pPr>
        <w:tabs>
          <w:tab w:val="num" w:pos="2160"/>
        </w:tabs>
        <w:ind w:left="2160" w:hanging="360"/>
      </w:pPr>
      <w:rPr>
        <w:rFonts w:ascii="Wingdings" w:hAnsi="Wingdings" w:cs="Wingdings" w:hint="default"/>
      </w:rPr>
    </w:lvl>
    <w:lvl w:ilvl="3" w:tplc="5518FB38">
      <w:start w:val="1"/>
      <w:numFmt w:val="bullet"/>
      <w:lvlText w:val="•"/>
      <w:lvlJc w:val="left"/>
      <w:pPr>
        <w:tabs>
          <w:tab w:val="num" w:pos="2880"/>
        </w:tabs>
        <w:ind w:left="2880" w:hanging="360"/>
      </w:pPr>
      <w:rPr>
        <w:rFonts w:ascii="Symbol" w:hAnsi="Symbol" w:cs="Symbol" w:hint="default"/>
      </w:rPr>
    </w:lvl>
    <w:lvl w:ilvl="4" w:tplc="5F56BBCE">
      <w:start w:val="1"/>
      <w:numFmt w:val="bullet"/>
      <w:lvlText w:val="◦"/>
      <w:lvlJc w:val="left"/>
      <w:pPr>
        <w:tabs>
          <w:tab w:val="num" w:pos="3600"/>
        </w:tabs>
        <w:ind w:left="3600" w:hanging="360"/>
      </w:pPr>
      <w:rPr>
        <w:rFonts w:ascii="Courier New" w:hAnsi="Courier New" w:cs="Courier New" w:hint="default"/>
      </w:rPr>
    </w:lvl>
    <w:lvl w:ilvl="5" w:tplc="6A4446FE">
      <w:start w:val="1"/>
      <w:numFmt w:val="bullet"/>
      <w:lvlText w:val="•"/>
      <w:lvlJc w:val="left"/>
      <w:pPr>
        <w:tabs>
          <w:tab w:val="num" w:pos="4320"/>
        </w:tabs>
        <w:ind w:left="4320" w:hanging="360"/>
      </w:pPr>
      <w:rPr>
        <w:rFonts w:ascii="Wingdings" w:hAnsi="Wingdings" w:cs="Wingdings" w:hint="default"/>
      </w:rPr>
    </w:lvl>
    <w:lvl w:ilvl="6" w:tplc="DD36FDDE">
      <w:start w:val="1"/>
      <w:numFmt w:val="bullet"/>
      <w:lvlText w:val="•"/>
      <w:lvlJc w:val="left"/>
      <w:pPr>
        <w:tabs>
          <w:tab w:val="num" w:pos="5040"/>
        </w:tabs>
        <w:ind w:left="5040" w:hanging="360"/>
      </w:pPr>
      <w:rPr>
        <w:rFonts w:ascii="Symbol" w:hAnsi="Symbol" w:cs="Symbol" w:hint="default"/>
      </w:rPr>
    </w:lvl>
    <w:lvl w:ilvl="7" w:tplc="CE60B3E4">
      <w:start w:val="1"/>
      <w:numFmt w:val="bullet"/>
      <w:lvlText w:val="◦"/>
      <w:lvlJc w:val="left"/>
      <w:pPr>
        <w:tabs>
          <w:tab w:val="num" w:pos="5760"/>
        </w:tabs>
        <w:ind w:left="5760" w:hanging="360"/>
      </w:pPr>
      <w:rPr>
        <w:rFonts w:ascii="Courier New" w:hAnsi="Courier New" w:cs="Courier New" w:hint="default"/>
      </w:rPr>
    </w:lvl>
    <w:lvl w:ilvl="8" w:tplc="C25AA58C">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B3D"/>
    <w:rsid w:val="000A1F69"/>
    <w:rsid w:val="001B1404"/>
    <w:rsid w:val="00200705"/>
    <w:rsid w:val="00420D33"/>
    <w:rsid w:val="00522200"/>
    <w:rsid w:val="0094706E"/>
    <w:rsid w:val="00A66B3D"/>
    <w:rsid w:val="00D77A91"/>
    <w:rsid w:val="00F940D4"/>
    <w:rsid w:val="00FD3D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9B946"/>
  <w15:docId w15:val="{7F9C3E96-60B8-4F91-9025-646F1ED0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10" w:line="288"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unhideWhenUsed/>
    <w:rPr>
      <w:vertAlign w:val="superscript"/>
    </w:rPr>
  </w:style>
  <w:style w:type="character" w:styleId="Forte">
    <w:name w:val="Strong"/>
    <w:basedOn w:val="Fontepargpadro"/>
    <w:uiPriority w:val="22"/>
    <w:qFormat/>
    <w:rsid w:val="002007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3046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Processo 017/2026</vt:lpstr>
    </vt:vector>
  </TitlesOfParts>
  <Manager/>
  <Company>Município de Liberdade</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017/2026</dc:title>
  <dc:subject>ORÇAMENTO ESTIMATIVO</dc:subject>
  <dc:creator>RVA - Licita Fácil</dc:creator>
  <cp:keywords>RVA, Licita Fácil</cp:keywords>
  <dc:description>ORÇAMENTO ESTIMATIVO</dc:description>
  <cp:lastModifiedBy>Licitacao</cp:lastModifiedBy>
  <cp:revision>4</cp:revision>
  <dcterms:created xsi:type="dcterms:W3CDTF">2026-04-07T12:10:00Z</dcterms:created>
  <dcterms:modified xsi:type="dcterms:W3CDTF">2026-04-07T12:20:00Z</dcterms:modified>
  <cp:category/>
</cp:coreProperties>
</file>